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0B167E6" w:rsidR="00CD4C7B" w:rsidRPr="00E338E8" w:rsidRDefault="003A41EF">
      <w:pPr>
        <w:pStyle w:val="Header"/>
        <w:tabs>
          <w:tab w:val="right" w:pos="9639"/>
        </w:tabs>
        <w:rPr>
          <w:i/>
          <w:iCs/>
          <w:noProof w:val="0"/>
          <w:sz w:val="24"/>
          <w:szCs w:val="24"/>
        </w:rPr>
      </w:pPr>
      <w:bookmarkStart w:id="0" w:name="_Hlk506229"/>
      <w:r w:rsidRPr="008E4B35">
        <w:rPr>
          <w:noProof w:val="0"/>
          <w:sz w:val="24"/>
          <w:szCs w:val="24"/>
        </w:rPr>
        <w:t xml:space="preserve">3GPP TSG-RAN WG2 Meeting </w:t>
      </w:r>
      <w:r w:rsidR="00F941DF" w:rsidRPr="008E4B35">
        <w:rPr>
          <w:noProof w:val="0"/>
          <w:sz w:val="24"/>
          <w:szCs w:val="24"/>
        </w:rPr>
        <w:t>#</w:t>
      </w:r>
      <w:r w:rsidR="007C2DD0" w:rsidRPr="008E4B35">
        <w:rPr>
          <w:noProof w:val="0"/>
          <w:sz w:val="24"/>
          <w:szCs w:val="24"/>
        </w:rPr>
        <w:t>10</w:t>
      </w:r>
      <w:r w:rsidR="00DA2622" w:rsidRPr="008E4B35">
        <w:rPr>
          <w:noProof w:val="0"/>
          <w:sz w:val="24"/>
          <w:szCs w:val="24"/>
        </w:rPr>
        <w:t>5</w:t>
      </w:r>
      <w:r w:rsidR="00A35C52" w:rsidRPr="008E4B35">
        <w:rPr>
          <w:noProof w:val="0"/>
          <w:sz w:val="24"/>
          <w:szCs w:val="24"/>
        </w:rPr>
        <w:t>bis</w:t>
      </w:r>
      <w:r w:rsidR="00CD4C7B" w:rsidRPr="00B266B0">
        <w:rPr>
          <w:bCs/>
          <w:noProof w:val="0"/>
          <w:sz w:val="24"/>
          <w:szCs w:val="24"/>
        </w:rPr>
        <w:tab/>
      </w:r>
      <w:r w:rsidR="009359CA" w:rsidRPr="008E4B35">
        <w:rPr>
          <w:noProof w:val="0"/>
          <w:sz w:val="24"/>
          <w:szCs w:val="24"/>
        </w:rPr>
        <w:t>R2-19</w:t>
      </w:r>
      <w:r w:rsidR="000F532F" w:rsidRPr="008E4B35">
        <w:rPr>
          <w:noProof w:val="0"/>
          <w:sz w:val="24"/>
          <w:szCs w:val="24"/>
        </w:rPr>
        <w:t>0</w:t>
      </w:r>
      <w:r w:rsidR="00E338E8">
        <w:rPr>
          <w:noProof w:val="0"/>
          <w:sz w:val="24"/>
          <w:szCs w:val="24"/>
        </w:rPr>
        <w:t>4275</w:t>
      </w:r>
    </w:p>
    <w:p w14:paraId="231362B2" w14:textId="0889F8AE" w:rsidR="00CD4C7B" w:rsidRPr="001E404A" w:rsidRDefault="00A35C52" w:rsidP="00CD4C7B">
      <w:pPr>
        <w:pStyle w:val="Header"/>
        <w:tabs>
          <w:tab w:val="right" w:pos="9639"/>
        </w:tabs>
        <w:rPr>
          <w:bCs/>
          <w:noProof w:val="0"/>
          <w:sz w:val="24"/>
          <w:szCs w:val="24"/>
        </w:rPr>
      </w:pPr>
      <w:r>
        <w:rPr>
          <w:rFonts w:eastAsia="SimSun"/>
          <w:noProof w:val="0"/>
          <w:sz w:val="24"/>
          <w:szCs w:val="24"/>
          <w:lang w:eastAsia="zh-CN"/>
        </w:rPr>
        <w:t>Xian</w:t>
      </w:r>
      <w:r w:rsidR="00CB72B8">
        <w:rPr>
          <w:rFonts w:eastAsia="SimSun"/>
          <w:noProof w:val="0"/>
          <w:sz w:val="24"/>
          <w:szCs w:val="24"/>
          <w:lang w:eastAsia="zh-CN"/>
        </w:rPr>
        <w:t xml:space="preserve">, </w:t>
      </w:r>
      <w:r>
        <w:rPr>
          <w:rFonts w:eastAsia="SimSun"/>
          <w:noProof w:val="0"/>
          <w:sz w:val="24"/>
          <w:szCs w:val="24"/>
          <w:lang w:eastAsia="zh-CN"/>
        </w:rPr>
        <w:t>China</w:t>
      </w:r>
      <w:r w:rsidR="008F396F" w:rsidRPr="008F396F">
        <w:rPr>
          <w:rFonts w:eastAsia="SimSun"/>
          <w:noProof w:val="0"/>
          <w:sz w:val="24"/>
          <w:szCs w:val="24"/>
          <w:lang w:eastAsia="zh-CN"/>
        </w:rPr>
        <w:t xml:space="preserve">, </w:t>
      </w:r>
      <w:r w:rsidR="0087063F">
        <w:rPr>
          <w:rFonts w:eastAsia="SimSun"/>
          <w:noProof w:val="0"/>
          <w:sz w:val="24"/>
          <w:szCs w:val="24"/>
          <w:lang w:eastAsia="zh-CN"/>
        </w:rPr>
        <w:t>08-12 April</w:t>
      </w:r>
      <w:r w:rsidR="008F396F" w:rsidRPr="008F396F">
        <w:rPr>
          <w:rFonts w:eastAsia="SimSun"/>
          <w:noProof w:val="0"/>
          <w:sz w:val="24"/>
          <w:szCs w:val="24"/>
          <w:lang w:eastAsia="zh-CN"/>
        </w:rPr>
        <w:t xml:space="preserve"> 201</w:t>
      </w:r>
      <w:r w:rsidR="00DA2622">
        <w:rPr>
          <w:rFonts w:eastAsia="SimSun"/>
          <w:noProof w:val="0"/>
          <w:sz w:val="24"/>
          <w:szCs w:val="24"/>
          <w:lang w:eastAsia="zh-CN"/>
        </w:rPr>
        <w:t>9</w:t>
      </w:r>
      <w:bookmarkEnd w:id="0"/>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0D3316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E404A" w:rsidRPr="001E404A">
        <w:rPr>
          <w:rFonts w:cs="Arial"/>
          <w:b/>
          <w:bCs/>
          <w:sz w:val="24"/>
          <w:lang w:eastAsia="ja-JP"/>
        </w:rPr>
        <w:t>11.4.</w:t>
      </w:r>
      <w:r w:rsidR="0087063F">
        <w:rPr>
          <w:rFonts w:cs="Arial"/>
          <w:b/>
          <w:bCs/>
          <w:sz w:val="24"/>
          <w:lang w:eastAsia="ja-JP"/>
        </w:rPr>
        <w:t>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1D265E36" w14:textId="7824143D" w:rsidR="00CF49B5"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C3EC4">
        <w:rPr>
          <w:rFonts w:ascii="Arial" w:hAnsi="Arial" w:cs="Arial"/>
          <w:b/>
          <w:bCs/>
          <w:sz w:val="24"/>
        </w:rPr>
        <w:t>Valid</w:t>
      </w:r>
      <w:r w:rsidR="005471D3">
        <w:rPr>
          <w:rFonts w:ascii="Arial" w:hAnsi="Arial" w:cs="Arial"/>
          <w:b/>
          <w:bCs/>
          <w:sz w:val="24"/>
        </w:rPr>
        <w:t>i</w:t>
      </w:r>
      <w:r w:rsidR="001C3EC4">
        <w:rPr>
          <w:rFonts w:ascii="Arial" w:hAnsi="Arial" w:cs="Arial"/>
          <w:b/>
          <w:bCs/>
          <w:sz w:val="24"/>
        </w:rPr>
        <w:t>t</w:t>
      </w:r>
      <w:r w:rsidR="005471D3">
        <w:rPr>
          <w:rFonts w:ascii="Arial" w:hAnsi="Arial" w:cs="Arial"/>
          <w:b/>
          <w:bCs/>
          <w:sz w:val="24"/>
        </w:rPr>
        <w:t>y</w:t>
      </w:r>
      <w:r w:rsidR="001C3EC4">
        <w:rPr>
          <w:rFonts w:ascii="Arial" w:hAnsi="Arial" w:cs="Arial"/>
          <w:b/>
          <w:bCs/>
          <w:sz w:val="24"/>
        </w:rPr>
        <w:t xml:space="preserve"> area f</w:t>
      </w:r>
      <w:r w:rsidR="00821BC2">
        <w:rPr>
          <w:rFonts w:ascii="Arial" w:hAnsi="Arial" w:cs="Arial"/>
          <w:b/>
          <w:bCs/>
          <w:sz w:val="24"/>
        </w:rPr>
        <w:t>or</w:t>
      </w:r>
      <w:r w:rsidR="001C3EC4">
        <w:rPr>
          <w:rFonts w:ascii="Arial" w:hAnsi="Arial" w:cs="Arial"/>
          <w:b/>
          <w:bCs/>
          <w:sz w:val="24"/>
        </w:rPr>
        <w:t xml:space="preserve"> </w:t>
      </w:r>
      <w:r w:rsidR="00A02733">
        <w:rPr>
          <w:rFonts w:ascii="Arial" w:hAnsi="Arial" w:cs="Arial"/>
          <w:b/>
          <w:bCs/>
          <w:sz w:val="24"/>
        </w:rPr>
        <w:t>SL M</w:t>
      </w:r>
      <w:r w:rsidR="00457631">
        <w:rPr>
          <w:rFonts w:ascii="Arial" w:hAnsi="Arial" w:cs="Arial"/>
          <w:b/>
          <w:bCs/>
          <w:sz w:val="24"/>
        </w:rPr>
        <w:t xml:space="preserve">ode 2 </w:t>
      </w:r>
      <w:r w:rsidR="00382439">
        <w:rPr>
          <w:rFonts w:ascii="Arial" w:hAnsi="Arial" w:cs="Arial"/>
          <w:b/>
          <w:bCs/>
          <w:sz w:val="24"/>
        </w:rPr>
        <w:t>resource allocati</w:t>
      </w:r>
      <w:r w:rsidR="001C3EC4">
        <w:rPr>
          <w:rFonts w:ascii="Arial" w:hAnsi="Arial" w:cs="Arial"/>
          <w:b/>
          <w:bCs/>
          <w:sz w:val="24"/>
        </w:rPr>
        <w:t>on</w:t>
      </w:r>
      <w:r w:rsidR="00A02733">
        <w:rPr>
          <w:rFonts w:ascii="Arial" w:hAnsi="Arial" w:cs="Arial"/>
          <w:b/>
          <w:bCs/>
          <w:sz w:val="24"/>
        </w:rPr>
        <w:t xml:space="preserve"> in NR V2X</w:t>
      </w:r>
    </w:p>
    <w:p w14:paraId="45BE90BE" w14:textId="54609FC3" w:rsidR="00CD4C7B" w:rsidRDefault="00CF49B5" w:rsidP="00CF49B5">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NR_</w:t>
      </w:r>
      <w:r>
        <w:rPr>
          <w:rFonts w:ascii="Arial" w:hAnsi="Arial" w:cs="Arial"/>
          <w:b/>
          <w:bCs/>
          <w:sz w:val="24"/>
        </w:rPr>
        <w:t>V2X</w:t>
      </w:r>
      <w:r w:rsidRPr="00112F1A">
        <w:rPr>
          <w:rFonts w:ascii="Arial" w:hAnsi="Arial" w:cs="Arial"/>
          <w:b/>
          <w:bCs/>
          <w:sz w:val="24"/>
        </w:rPr>
        <w:t xml:space="preserve">-Core </w:t>
      </w:r>
      <w:r>
        <w:rPr>
          <w:rFonts w:ascii="Arial" w:hAnsi="Arial" w:cs="Arial"/>
          <w:b/>
          <w:bCs/>
          <w:sz w:val="24"/>
        </w:rPr>
        <w:t>- Release 16</w:t>
      </w:r>
      <w:r w:rsidR="001C3EC4">
        <w:rPr>
          <w:rFonts w:ascii="Arial" w:hAnsi="Arial" w:cs="Arial"/>
          <w:b/>
          <w:bCs/>
          <w:sz w:val="24"/>
        </w:rPr>
        <w:t xml:space="preserve"> </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93983A1" w14:textId="620FE1BB" w:rsidR="00293477" w:rsidRDefault="00CF1819" w:rsidP="00BC002A">
      <w:pPr>
        <w:spacing w:before="240"/>
        <w:jc w:val="both"/>
      </w:pPr>
      <w:r>
        <w:t xml:space="preserve">RAN2 has made the following agreement on the </w:t>
      </w:r>
      <w:r w:rsidR="002A6258">
        <w:t>mode 2 resource configuration in RAN2#105 [1]</w:t>
      </w:r>
      <w:r w:rsidR="002D3857">
        <w:t>.</w:t>
      </w:r>
      <w:r w:rsidR="002A6258">
        <w:t xml:space="preserve"> </w:t>
      </w:r>
    </w:p>
    <w:p w14:paraId="3068641D" w14:textId="2B7E91B0" w:rsidR="002A6258" w:rsidRPr="002A6258" w:rsidRDefault="002A6258" w:rsidP="00E338E8">
      <w:pPr>
        <w:pBdr>
          <w:top w:val="single" w:sz="4" w:space="1" w:color="auto"/>
          <w:left w:val="single" w:sz="4" w:space="31" w:color="auto"/>
          <w:bottom w:val="single" w:sz="4" w:space="1" w:color="auto"/>
          <w:right w:val="single" w:sz="4" w:space="4" w:color="auto"/>
        </w:pBdr>
        <w:tabs>
          <w:tab w:val="left" w:pos="1622"/>
        </w:tabs>
        <w:ind w:left="1622" w:hanging="363"/>
        <w:rPr>
          <w:i/>
          <w:noProof/>
        </w:rPr>
      </w:pPr>
      <w:r w:rsidRPr="002A6258">
        <w:rPr>
          <w:i/>
          <w:noProof/>
        </w:rPr>
        <w:t>1-7: The network can provide a pool of resources in which UE autonomously selects sidelink grant for ‘sidelink unicast/groupcast/broadcast’ via broadcast system information.</w:t>
      </w:r>
    </w:p>
    <w:p w14:paraId="2FD57105" w14:textId="31A7DEE9" w:rsidR="002A6258" w:rsidRPr="002A6258" w:rsidRDefault="002A6258" w:rsidP="00E338E8">
      <w:pPr>
        <w:pBdr>
          <w:top w:val="single" w:sz="4" w:space="1" w:color="auto"/>
          <w:left w:val="single" w:sz="4" w:space="31" w:color="auto"/>
          <w:bottom w:val="single" w:sz="4" w:space="1" w:color="auto"/>
          <w:right w:val="single" w:sz="4" w:space="4" w:color="auto"/>
        </w:pBdr>
        <w:tabs>
          <w:tab w:val="left" w:pos="1622"/>
        </w:tabs>
        <w:ind w:left="1622" w:hanging="363"/>
        <w:rPr>
          <w:i/>
          <w:noProof/>
        </w:rPr>
      </w:pPr>
      <w:r w:rsidRPr="002A6258">
        <w:rPr>
          <w:i/>
          <w:noProof/>
        </w:rPr>
        <w:t>1-8: The network can provide a pool of resources in which UE autonomously selects sidelink grant for ‘sidelink unicast/groupcast/broadcast’ via dedicated signaling.</w:t>
      </w:r>
    </w:p>
    <w:p w14:paraId="2A785033" w14:textId="77777777" w:rsidR="002A6258" w:rsidRPr="002A6258" w:rsidRDefault="002A6258" w:rsidP="00E338E8">
      <w:pPr>
        <w:pBdr>
          <w:top w:val="single" w:sz="4" w:space="1" w:color="auto"/>
          <w:left w:val="single" w:sz="4" w:space="31" w:color="auto"/>
          <w:bottom w:val="single" w:sz="4" w:space="1" w:color="auto"/>
          <w:right w:val="single" w:sz="4" w:space="4" w:color="auto"/>
        </w:pBdr>
        <w:tabs>
          <w:tab w:val="left" w:pos="1622"/>
        </w:tabs>
        <w:ind w:left="1622" w:hanging="363"/>
        <w:rPr>
          <w:i/>
          <w:noProof/>
        </w:rPr>
      </w:pPr>
      <w:r w:rsidRPr="002A6258">
        <w:rPr>
          <w:i/>
        </w:rPr>
        <w:t xml:space="preserve">1-10: </w:t>
      </w:r>
      <w:r w:rsidRPr="002A6258">
        <w:rPr>
          <w:i/>
          <w:noProof/>
        </w:rPr>
        <w:t>RAN2 supports mode-2 resource configuration for a given validity area where the UE(s) does not need to acquire a new mode-2 resource configuration while moving in the validity area, as least when this configuration is provided by SIB (e.g. to reuse valid area of NR SIB).</w:t>
      </w:r>
    </w:p>
    <w:p w14:paraId="2BA193C6" w14:textId="30100D75" w:rsidR="002A6258" w:rsidRPr="006E13D1" w:rsidRDefault="00575551" w:rsidP="00BC002A">
      <w:pPr>
        <w:spacing w:before="240"/>
        <w:jc w:val="both"/>
      </w:pPr>
      <w:r>
        <w:t>Some further details of supporting validity area for SL mode 2 resource configuration is discussed in this paper.</w:t>
      </w:r>
    </w:p>
    <w:p w14:paraId="127ACA6D" w14:textId="7458649E" w:rsidR="00CD4C7B" w:rsidRPr="006E13D1" w:rsidRDefault="00CD4C7B" w:rsidP="00CD4C7B">
      <w:pPr>
        <w:pStyle w:val="Heading1"/>
      </w:pPr>
      <w:r w:rsidRPr="006E13D1">
        <w:t>2</w:t>
      </w:r>
      <w:r w:rsidRPr="006E13D1">
        <w:tab/>
      </w:r>
      <w:r w:rsidR="002D3857">
        <w:t>Discussion</w:t>
      </w:r>
    </w:p>
    <w:p w14:paraId="1FF78A87" w14:textId="01DED2AF" w:rsidR="00364CCF" w:rsidRDefault="000D2BF2" w:rsidP="00F357C7">
      <w:pPr>
        <w:jc w:val="both"/>
      </w:pPr>
      <w:r>
        <w:t>The overall purpose of the validity area is to keep the SL resource</w:t>
      </w:r>
      <w:r w:rsidR="00821BC2">
        <w:t>(s)</w:t>
      </w:r>
      <w:r>
        <w:t xml:space="preserve"> unchanged</w:t>
      </w:r>
      <w:r w:rsidR="00821BC2">
        <w:t xml:space="preserve"> </w:t>
      </w:r>
      <w:proofErr w:type="gramStart"/>
      <w:r w:rsidR="00821BC2">
        <w:t>in order to</w:t>
      </w:r>
      <w:proofErr w:type="gramEnd"/>
      <w:r w:rsidR="00821BC2">
        <w:t xml:space="preserve"> achieve stable performance and reduce the latency [</w:t>
      </w:r>
      <w:r w:rsidR="002A6258">
        <w:t>2</w:t>
      </w:r>
      <w:r w:rsidR="00821BC2">
        <w:t>]</w:t>
      </w:r>
      <w:r>
        <w:t xml:space="preserve"> while vehicles are moving within certain area. </w:t>
      </w:r>
      <w:r w:rsidR="002D6C85">
        <w:t xml:space="preserve">For </w:t>
      </w:r>
      <w:r w:rsidR="0074455D">
        <w:t>NR SL mode 2 resource allocation, this is related to the mode 2 resource pool configuration either via broadcast system information or via dedicated signalling as agreed in RAN2#105.</w:t>
      </w:r>
    </w:p>
    <w:p w14:paraId="5CA3061E" w14:textId="52CF02B3" w:rsidR="00CE17BD" w:rsidRPr="00CD738E" w:rsidRDefault="00050459" w:rsidP="00CD738E">
      <w:pPr>
        <w:pStyle w:val="Heading2"/>
      </w:pPr>
      <w:r>
        <w:t xml:space="preserve">2.1 </w:t>
      </w:r>
      <w:r w:rsidR="0074455D">
        <w:t>Validity area for mode 2 resource pool configuration via broadcast system information</w:t>
      </w:r>
    </w:p>
    <w:p w14:paraId="11D64BB0" w14:textId="5D72E410" w:rsidR="00B613F0" w:rsidRDefault="009A5774" w:rsidP="00F357C7">
      <w:pPr>
        <w:jc w:val="both"/>
      </w:pPr>
      <w:r>
        <w:t xml:space="preserve">In case of SL mode 2 resource pool is configured via broadcasted system information, validity area may be used to remove the necessity of UE reading new SIB for mode 2 resource pool configuration while moving to a new cell in RRC Idle or Inactive state. In NR SIB design, </w:t>
      </w:r>
      <w:r w:rsidR="00216F80">
        <w:t xml:space="preserve">SIB validity within validity area that may be larger than one cell coverage is already supported [3]. The </w:t>
      </w:r>
      <w:r>
        <w:t xml:space="preserve">common parameter </w:t>
      </w:r>
      <w:r w:rsidR="00216F80">
        <w:t>“</w:t>
      </w:r>
      <w:proofErr w:type="spellStart"/>
      <w:r w:rsidR="00216F80" w:rsidRPr="00216F80">
        <w:rPr>
          <w:i/>
        </w:rPr>
        <w:t>systemInformationAreaID</w:t>
      </w:r>
      <w:proofErr w:type="spellEnd"/>
      <w:r w:rsidR="00216F80">
        <w:t xml:space="preserve">” </w:t>
      </w:r>
      <w:r>
        <w:t>for all the SIBs</w:t>
      </w:r>
      <w:r w:rsidR="00216F80">
        <w:t xml:space="preserve"> is </w:t>
      </w:r>
      <w:r>
        <w:t>defined</w:t>
      </w:r>
      <w:r w:rsidR="00216F80">
        <w:t xml:space="preserve"> to indicate the system information area that the cell belongs to. </w:t>
      </w:r>
      <w:r>
        <w:t>For each SIB, the enumerated parameter “</w:t>
      </w:r>
      <w:proofErr w:type="spellStart"/>
      <w:r w:rsidRPr="009A5774">
        <w:rPr>
          <w:i/>
        </w:rPr>
        <w:t>areaScope</w:t>
      </w:r>
      <w:proofErr w:type="spellEnd"/>
      <w:r>
        <w:t xml:space="preserve">” is used to enable or disable the validity area for the specific SIB. </w:t>
      </w:r>
      <w:r w:rsidR="00A476C6">
        <w:t xml:space="preserve">It </w:t>
      </w:r>
      <w:r>
        <w:t>is rather</w:t>
      </w:r>
      <w:r w:rsidR="00A476C6">
        <w:t xml:space="preserve"> straightforward to reuse the same mechanism to enable </w:t>
      </w:r>
      <w:r w:rsidR="00002828">
        <w:t>validity area</w:t>
      </w:r>
      <w:r w:rsidR="00B613F0">
        <w:t xml:space="preserve"> for SL mode 2 resource pool configuration via SIB</w:t>
      </w:r>
      <w:r w:rsidR="00A476C6">
        <w:t xml:space="preserve">. </w:t>
      </w:r>
    </w:p>
    <w:p w14:paraId="5AF80C59" w14:textId="31E0C853" w:rsidR="00002828" w:rsidRPr="00CA3B1A" w:rsidRDefault="00002828" w:rsidP="00002828">
      <w:pPr>
        <w:jc w:val="both"/>
        <w:rPr>
          <w:b/>
        </w:rPr>
      </w:pPr>
      <w:r w:rsidRPr="00CA3B1A">
        <w:rPr>
          <w:b/>
        </w:rPr>
        <w:t xml:space="preserve">Proposal 1: </w:t>
      </w:r>
      <w:r>
        <w:rPr>
          <w:b/>
        </w:rPr>
        <w:t xml:space="preserve">RAN2 is kindly asked to confirm </w:t>
      </w:r>
      <w:r w:rsidRPr="00CA3B1A">
        <w:rPr>
          <w:b/>
        </w:rPr>
        <w:t xml:space="preserve">NR SIB validity mechanism </w:t>
      </w:r>
      <w:r>
        <w:rPr>
          <w:b/>
        </w:rPr>
        <w:t xml:space="preserve">is reused </w:t>
      </w:r>
      <w:r w:rsidRPr="00CA3B1A">
        <w:rPr>
          <w:b/>
        </w:rPr>
        <w:t xml:space="preserve">to enable validity area </w:t>
      </w:r>
      <w:r>
        <w:rPr>
          <w:b/>
        </w:rPr>
        <w:t>for SL</w:t>
      </w:r>
      <w:r w:rsidRPr="00CA3B1A">
        <w:rPr>
          <w:b/>
        </w:rPr>
        <w:t xml:space="preserve"> mode 2 resource pool </w:t>
      </w:r>
      <w:r>
        <w:rPr>
          <w:b/>
        </w:rPr>
        <w:t>configured via broadcasted system information</w:t>
      </w:r>
      <w:r w:rsidRPr="00CA3B1A">
        <w:rPr>
          <w:b/>
        </w:rPr>
        <w:t>.</w:t>
      </w:r>
    </w:p>
    <w:p w14:paraId="17E8D9CB" w14:textId="04FB3CC4" w:rsidR="00002828" w:rsidRDefault="002120BC" w:rsidP="00F357C7">
      <w:pPr>
        <w:jc w:val="both"/>
      </w:pPr>
      <w:r>
        <w:t xml:space="preserve">As in LTE SL design, </w:t>
      </w:r>
      <w:r w:rsidR="00002828">
        <w:t>NR may also need to define</w:t>
      </w:r>
      <w:r w:rsidR="00E23576">
        <w:t xml:space="preserve"> one dedicated SIB for SL related configuration</w:t>
      </w:r>
      <w:r w:rsidR="00002828">
        <w:t xml:space="preserve">. The validity area for SL operation may or may not be the same as the validity area of </w:t>
      </w:r>
      <w:proofErr w:type="spellStart"/>
      <w:r w:rsidR="00002828">
        <w:t>Uu</w:t>
      </w:r>
      <w:proofErr w:type="spellEnd"/>
      <w:r w:rsidR="00002828">
        <w:t xml:space="preserve"> operation that the other SIBs are related to. Therefore, it needs to discuss whether the same or different “</w:t>
      </w:r>
      <w:proofErr w:type="spellStart"/>
      <w:r w:rsidR="00002828">
        <w:t>systemInformationAreaID</w:t>
      </w:r>
      <w:proofErr w:type="spellEnd"/>
      <w:r w:rsidR="00002828">
        <w:t xml:space="preserve">” should be defined for SL specific SIB(s) and other SIBs. </w:t>
      </w:r>
    </w:p>
    <w:p w14:paraId="00BEC934" w14:textId="2C895FEF" w:rsidR="00002828" w:rsidRPr="00002828" w:rsidRDefault="00002828" w:rsidP="00F357C7">
      <w:pPr>
        <w:jc w:val="both"/>
        <w:rPr>
          <w:b/>
        </w:rPr>
      </w:pPr>
      <w:r w:rsidRPr="00002828">
        <w:rPr>
          <w:b/>
        </w:rPr>
        <w:t>Proposal 2: RAN2 is kindly asked to discuss whether SL SIB specific “</w:t>
      </w:r>
      <w:proofErr w:type="spellStart"/>
      <w:r w:rsidRPr="00002828">
        <w:rPr>
          <w:b/>
        </w:rPr>
        <w:t>systemInformationAreaID</w:t>
      </w:r>
      <w:proofErr w:type="spellEnd"/>
      <w:r w:rsidRPr="00002828">
        <w:rPr>
          <w:b/>
        </w:rPr>
        <w:t>” should be defined or not.</w:t>
      </w:r>
    </w:p>
    <w:p w14:paraId="4C9D01BC" w14:textId="42634C17" w:rsidR="00887951" w:rsidRPr="00CD738E" w:rsidRDefault="00050459" w:rsidP="00CD738E">
      <w:pPr>
        <w:pStyle w:val="Heading2"/>
      </w:pPr>
      <w:r>
        <w:lastRenderedPageBreak/>
        <w:t xml:space="preserve">2.2 </w:t>
      </w:r>
      <w:r w:rsidR="000E20C2">
        <w:t>Validity area for mode 2 resource pool configuration via dedicated</w:t>
      </w:r>
      <w:r w:rsidR="000F532F">
        <w:t xml:space="preserve"> signalling</w:t>
      </w:r>
      <w:r w:rsidR="000E20C2">
        <w:t xml:space="preserve"> </w:t>
      </w:r>
      <w:commentRangeStart w:id="1"/>
      <w:commentRangeEnd w:id="1"/>
    </w:p>
    <w:p w14:paraId="44C2BE92" w14:textId="32C002ED" w:rsidR="000100AF" w:rsidRDefault="000100AF" w:rsidP="000100AF">
      <w:pPr>
        <w:jc w:val="both"/>
      </w:pPr>
      <w:r>
        <w:t>In case of mode 2 resource pool is configured via dedicated signalling, the same mode 2 resource pool can be configured to the UE during HO procedure</w:t>
      </w:r>
      <w:r w:rsidR="000E20C2" w:rsidRPr="576CB7F9">
        <w:t xml:space="preserve"> </w:t>
      </w:r>
      <w:r w:rsidR="000E20C2">
        <w:t xml:space="preserve">provided </w:t>
      </w:r>
      <w:r w:rsidR="00157C89">
        <w:t>the source and target NG-RAN node</w:t>
      </w:r>
      <w:r w:rsidR="008E4B35">
        <w:t>s</w:t>
      </w:r>
      <w:r w:rsidR="00157C89">
        <w:t xml:space="preserve"> </w:t>
      </w:r>
      <w:r w:rsidR="2ADE5377">
        <w:t>can coordinate the resource p</w:t>
      </w:r>
      <w:r w:rsidR="4FC54973">
        <w:t xml:space="preserve">ool configuration via </w:t>
      </w:r>
      <w:proofErr w:type="spellStart"/>
      <w:r w:rsidR="4FC54973">
        <w:t>Xn</w:t>
      </w:r>
      <w:proofErr w:type="spellEnd"/>
      <w:r w:rsidR="4FC54973">
        <w:t>/NG interface</w:t>
      </w:r>
      <w:r w:rsidRPr="576CB7F9">
        <w:t>.</w:t>
      </w:r>
      <w:r>
        <w:t xml:space="preserve"> There seems to be no strong reason to have the validity area defined for this case at least from signalling overhead, UE processing overhead, as well as the SL performance point of view, unless UE </w:t>
      </w:r>
      <w:proofErr w:type="gramStart"/>
      <w:r>
        <w:t>is allowed to</w:t>
      </w:r>
      <w:proofErr w:type="gramEnd"/>
      <w:r>
        <w:t xml:space="preserve"> use the mode 2 resource pool configured via dedicated signalling while moving to RRC Idle or Inactive state</w:t>
      </w:r>
      <w:r w:rsidR="008E4B35">
        <w:t xml:space="preserve"> (what </w:t>
      </w:r>
      <w:r w:rsidR="00E776DF">
        <w:t>c</w:t>
      </w:r>
      <w:r w:rsidR="008E4B35">
        <w:t xml:space="preserve">ould be against the </w:t>
      </w:r>
      <w:r w:rsidR="00E776DF">
        <w:t xml:space="preserve">general </w:t>
      </w:r>
      <w:r w:rsidR="008E4B35">
        <w:t>principles of dedicated configuration)</w:t>
      </w:r>
      <w:r>
        <w:t>.</w:t>
      </w:r>
    </w:p>
    <w:p w14:paraId="7E15B8C8" w14:textId="4119D558" w:rsidR="000100AF" w:rsidRDefault="000100AF" w:rsidP="000100AF">
      <w:pPr>
        <w:jc w:val="both"/>
        <w:rPr>
          <w:b/>
        </w:rPr>
      </w:pPr>
      <w:r w:rsidRPr="00CA3B1A">
        <w:rPr>
          <w:b/>
        </w:rPr>
        <w:t xml:space="preserve">Proposal </w:t>
      </w:r>
      <w:r w:rsidR="000E20C2">
        <w:rPr>
          <w:b/>
        </w:rPr>
        <w:t>3</w:t>
      </w:r>
      <w:r w:rsidRPr="00CA3B1A">
        <w:rPr>
          <w:b/>
        </w:rPr>
        <w:t>: RAN2 is kindly asked to discuss whether</w:t>
      </w:r>
      <w:r w:rsidR="000E20C2">
        <w:rPr>
          <w:b/>
        </w:rPr>
        <w:t xml:space="preserve"> SL mode 2 resource pool configured via dedicated signalling is still valid when UE moves to RRC Idle or Inactive state</w:t>
      </w:r>
      <w:r w:rsidRPr="00CA3B1A">
        <w:rPr>
          <w:b/>
        </w:rPr>
        <w:t>.</w:t>
      </w:r>
    </w:p>
    <w:p w14:paraId="3E0E46E6" w14:textId="7FFDBEA8" w:rsidR="000100AF" w:rsidRDefault="00F775D9" w:rsidP="00F357C7">
      <w:pPr>
        <w:jc w:val="both"/>
      </w:pPr>
      <w:r>
        <w:t>If SL mode 2 resource pool configured via dedicated signalling is still valid while UE moving to RRC Idle or Inactive state, the similar parameter as “</w:t>
      </w:r>
      <w:proofErr w:type="spellStart"/>
      <w:r>
        <w:t>systemInformationAreaID</w:t>
      </w:r>
      <w:proofErr w:type="spellEnd"/>
      <w:r>
        <w:t>” and “</w:t>
      </w:r>
      <w:proofErr w:type="spellStart"/>
      <w:r>
        <w:t>areaScope</w:t>
      </w:r>
      <w:proofErr w:type="spellEnd"/>
      <w:r>
        <w:t xml:space="preserve">” may be defined also in the dedicated signalling for mode 2 resource pool configuration. </w:t>
      </w:r>
      <w:proofErr w:type="gramStart"/>
      <w:r>
        <w:t>Thus</w:t>
      </w:r>
      <w:r w:rsidR="00E338E8">
        <w:t>,</w:t>
      </w:r>
      <w:proofErr w:type="gramEnd"/>
      <w:r>
        <w:t xml:space="preserve"> the same mechanism </w:t>
      </w:r>
      <w:r w:rsidR="00E23576">
        <w:t>of</w:t>
      </w:r>
      <w:r>
        <w:t xml:space="preserve"> SIB based validity area can be applied for mode 2 resource pool configuration via dedicated signalling while UE moves to RRC Idle or Inactive state.</w:t>
      </w:r>
    </w:p>
    <w:p w14:paraId="501461C5" w14:textId="4E65E7F4" w:rsidR="00F775D9" w:rsidRDefault="00F775D9" w:rsidP="00F357C7">
      <w:pPr>
        <w:jc w:val="both"/>
      </w:pPr>
      <w:r>
        <w:t xml:space="preserve">If SL mode 2 resource configured via dedicated signalling is only valid while UE in RRC Connected state, the SL mode 2 resource pool of the target cell can be configured using HO </w:t>
      </w:r>
      <w:bookmarkStart w:id="2" w:name="_GoBack"/>
      <w:bookmarkEnd w:id="2"/>
      <w:r>
        <w:t xml:space="preserve">procedure over </w:t>
      </w:r>
      <w:proofErr w:type="spellStart"/>
      <w:r>
        <w:t>Xn</w:t>
      </w:r>
      <w:proofErr w:type="spellEnd"/>
      <w:r w:rsidR="00686625">
        <w:t>/NG</w:t>
      </w:r>
      <w:r>
        <w:t xml:space="preserve"> interface. It’s up to </w:t>
      </w:r>
      <w:proofErr w:type="spellStart"/>
      <w:r>
        <w:t>gNB</w:t>
      </w:r>
      <w:proofErr w:type="spellEnd"/>
      <w:r>
        <w:t xml:space="preserve"> implementation whether the same or different SL mode 2 resource pool is configured or not. But </w:t>
      </w:r>
      <w:proofErr w:type="gramStart"/>
      <w:r>
        <w:t>in order to</w:t>
      </w:r>
      <w:proofErr w:type="gramEnd"/>
      <w:r>
        <w:t xml:space="preserve"> allow the target </w:t>
      </w:r>
      <w:proofErr w:type="spellStart"/>
      <w:r>
        <w:t>gNB</w:t>
      </w:r>
      <w:proofErr w:type="spellEnd"/>
      <w:r>
        <w:t xml:space="preserve"> to determine whether to configure the same SL mode 2 resource pool or not, the current resource pool configuration in the source cell may need to be indicated from source </w:t>
      </w:r>
      <w:proofErr w:type="spellStart"/>
      <w:r>
        <w:t>gNB</w:t>
      </w:r>
      <w:proofErr w:type="spellEnd"/>
      <w:r>
        <w:t xml:space="preserve"> to target </w:t>
      </w:r>
      <w:proofErr w:type="spellStart"/>
      <w:r>
        <w:t>gNB</w:t>
      </w:r>
      <w:proofErr w:type="spellEnd"/>
      <w:r>
        <w:t xml:space="preserve"> via </w:t>
      </w:r>
      <w:proofErr w:type="spellStart"/>
      <w:r>
        <w:t>Xn</w:t>
      </w:r>
      <w:proofErr w:type="spellEnd"/>
      <w:r w:rsidR="002E36E1">
        <w:t>/NG</w:t>
      </w:r>
      <w:r>
        <w:t xml:space="preserve"> interface. </w:t>
      </w:r>
      <w:r w:rsidR="002E36E1">
        <w:t>One option is define</w:t>
      </w:r>
      <w:r w:rsidR="66CA19CA">
        <w:t>d</w:t>
      </w:r>
      <w:r w:rsidR="002E36E1">
        <w:t xml:space="preserve"> the resource pool configuration in </w:t>
      </w:r>
      <w:proofErr w:type="gramStart"/>
      <w:r w:rsidR="002E36E1">
        <w:t>a</w:t>
      </w:r>
      <w:proofErr w:type="gramEnd"/>
      <w:r w:rsidR="002E36E1">
        <w:t xml:space="preserve"> RRC container, just like other RRC parameters to be exchanged during the handover procedure. </w:t>
      </w:r>
    </w:p>
    <w:p w14:paraId="47705BB2" w14:textId="38C238C8" w:rsidR="00CE17BD" w:rsidRPr="00E338E8" w:rsidRDefault="00F775D9">
      <w:pPr>
        <w:jc w:val="both"/>
        <w:rPr>
          <w:b/>
          <w:bCs/>
        </w:rPr>
      </w:pPr>
      <w:r w:rsidRPr="008E4B35">
        <w:rPr>
          <w:b/>
          <w:bCs/>
        </w:rPr>
        <w:t xml:space="preserve">Proposal 4: </w:t>
      </w:r>
      <w:r w:rsidR="002120BC" w:rsidRPr="008E4B35">
        <w:rPr>
          <w:b/>
          <w:bCs/>
        </w:rPr>
        <w:t xml:space="preserve">RAN2 is kindly asked to send LS to RAN3 to consider including the mode 2 resource pool configuration information from source to target </w:t>
      </w:r>
      <w:proofErr w:type="spellStart"/>
      <w:r w:rsidR="002120BC" w:rsidRPr="008E4B35">
        <w:rPr>
          <w:b/>
          <w:bCs/>
        </w:rPr>
        <w:t>gNB</w:t>
      </w:r>
      <w:proofErr w:type="spellEnd"/>
      <w:r w:rsidR="002120BC" w:rsidRPr="008E4B35">
        <w:rPr>
          <w:b/>
          <w:bCs/>
        </w:rPr>
        <w:t>.</w:t>
      </w:r>
      <w:r w:rsidR="00B16105" w:rsidRPr="008E4B35">
        <w:rPr>
          <w:b/>
          <w:bCs/>
        </w:rPr>
        <w:t xml:space="preserve"> </w:t>
      </w:r>
    </w:p>
    <w:p w14:paraId="5FF0E443" w14:textId="3E5FC9BB" w:rsidR="00CD4C7B" w:rsidRDefault="00CD4C7B" w:rsidP="00CD4C7B">
      <w:pPr>
        <w:pStyle w:val="Heading1"/>
      </w:pPr>
      <w:r w:rsidRPr="006E13D1">
        <w:t>3</w:t>
      </w:r>
      <w:r w:rsidRPr="006E13D1">
        <w:tab/>
      </w:r>
      <w:r w:rsidR="00CD3A17">
        <w:t>Conclusion</w:t>
      </w:r>
    </w:p>
    <w:p w14:paraId="0D7C9757" w14:textId="0FE2E6FB" w:rsidR="00CD3A17" w:rsidRDefault="00CD3A17" w:rsidP="00066DE7">
      <w:r>
        <w:t xml:space="preserve">The following proposals </w:t>
      </w:r>
      <w:r w:rsidR="00B16105">
        <w:t xml:space="preserve">for validity area of SL </w:t>
      </w:r>
      <w:r w:rsidR="00E23576">
        <w:t xml:space="preserve">mode 2 </w:t>
      </w:r>
      <w:r w:rsidR="00B16105">
        <w:t>resource allocation</w:t>
      </w:r>
      <w:r w:rsidRPr="00CD3A17">
        <w:t xml:space="preserve"> </w:t>
      </w:r>
      <w:r>
        <w:t>are made</w:t>
      </w:r>
      <w:r w:rsidR="00BA1727">
        <w:t>:</w:t>
      </w:r>
    </w:p>
    <w:p w14:paraId="723B7BA2" w14:textId="77777777" w:rsidR="00E23576" w:rsidRPr="00CA3B1A" w:rsidRDefault="00E23576" w:rsidP="00E23576">
      <w:pPr>
        <w:jc w:val="both"/>
        <w:rPr>
          <w:b/>
        </w:rPr>
      </w:pPr>
      <w:r w:rsidRPr="00CA3B1A">
        <w:rPr>
          <w:b/>
        </w:rPr>
        <w:t xml:space="preserve">Proposal 1: </w:t>
      </w:r>
      <w:r>
        <w:rPr>
          <w:b/>
        </w:rPr>
        <w:t xml:space="preserve">RAN2 is kindly asked to confirm </w:t>
      </w:r>
      <w:r w:rsidRPr="00CA3B1A">
        <w:rPr>
          <w:b/>
        </w:rPr>
        <w:t xml:space="preserve">NR SIB validity mechanism </w:t>
      </w:r>
      <w:r>
        <w:rPr>
          <w:b/>
        </w:rPr>
        <w:t xml:space="preserve">is reused </w:t>
      </w:r>
      <w:r w:rsidRPr="00CA3B1A">
        <w:rPr>
          <w:b/>
        </w:rPr>
        <w:t xml:space="preserve">to enable validity area </w:t>
      </w:r>
      <w:r>
        <w:rPr>
          <w:b/>
        </w:rPr>
        <w:t>for SL</w:t>
      </w:r>
      <w:r w:rsidRPr="00CA3B1A">
        <w:rPr>
          <w:b/>
        </w:rPr>
        <w:t xml:space="preserve"> mode 2 resource pool </w:t>
      </w:r>
      <w:r>
        <w:rPr>
          <w:b/>
        </w:rPr>
        <w:t>configured via broadcasted system information</w:t>
      </w:r>
      <w:r w:rsidRPr="00CA3B1A">
        <w:rPr>
          <w:b/>
        </w:rPr>
        <w:t>.</w:t>
      </w:r>
    </w:p>
    <w:p w14:paraId="0E49E827" w14:textId="77777777" w:rsidR="00E23576" w:rsidRPr="00002828" w:rsidRDefault="00E23576" w:rsidP="00E23576">
      <w:pPr>
        <w:jc w:val="both"/>
        <w:rPr>
          <w:b/>
        </w:rPr>
      </w:pPr>
      <w:r w:rsidRPr="00002828">
        <w:rPr>
          <w:b/>
        </w:rPr>
        <w:t>Proposal 2: RAN2 is kindly asked to discuss whether SL SIB specific “</w:t>
      </w:r>
      <w:proofErr w:type="spellStart"/>
      <w:r w:rsidRPr="00002828">
        <w:rPr>
          <w:b/>
        </w:rPr>
        <w:t>systemInformationAreaID</w:t>
      </w:r>
      <w:proofErr w:type="spellEnd"/>
      <w:r w:rsidRPr="00002828">
        <w:rPr>
          <w:b/>
        </w:rPr>
        <w:t>” should be defined or not.</w:t>
      </w:r>
    </w:p>
    <w:p w14:paraId="11BC33A7" w14:textId="77777777" w:rsidR="00E23576" w:rsidRDefault="00E23576" w:rsidP="00E23576">
      <w:pPr>
        <w:jc w:val="both"/>
        <w:rPr>
          <w:b/>
        </w:rPr>
      </w:pPr>
      <w:r w:rsidRPr="00CA3B1A">
        <w:rPr>
          <w:b/>
        </w:rPr>
        <w:t xml:space="preserve">Proposal </w:t>
      </w:r>
      <w:r>
        <w:rPr>
          <w:b/>
        </w:rPr>
        <w:t>3</w:t>
      </w:r>
      <w:r w:rsidRPr="00CA3B1A">
        <w:rPr>
          <w:b/>
        </w:rPr>
        <w:t>: RAN2 is kindly asked to discuss whether</w:t>
      </w:r>
      <w:r>
        <w:rPr>
          <w:b/>
        </w:rPr>
        <w:t xml:space="preserve"> SL mode 2 resource pool configured via dedicated signalling is still valid when UE moves to RRC Idle or Inactive state</w:t>
      </w:r>
      <w:r w:rsidRPr="00CA3B1A">
        <w:rPr>
          <w:b/>
        </w:rPr>
        <w:t>.</w:t>
      </w:r>
    </w:p>
    <w:p w14:paraId="7EDB018C" w14:textId="0E091884" w:rsidR="00E23576" w:rsidRPr="00E338E8" w:rsidRDefault="00E23576">
      <w:pPr>
        <w:jc w:val="both"/>
        <w:rPr>
          <w:b/>
          <w:bCs/>
        </w:rPr>
      </w:pPr>
      <w:r w:rsidRPr="008E4B35">
        <w:rPr>
          <w:b/>
          <w:bCs/>
        </w:rPr>
        <w:t xml:space="preserve">Proposal 4: RAN2 is kindly asked to send LS to RAN3 to consider including the mode 2 resource pool configuration information from source to target </w:t>
      </w:r>
      <w:proofErr w:type="spellStart"/>
      <w:r w:rsidRPr="008E4B35">
        <w:rPr>
          <w:b/>
          <w:bCs/>
        </w:rPr>
        <w:t>gNB</w:t>
      </w:r>
      <w:proofErr w:type="spellEnd"/>
      <w:r w:rsidRPr="008E4B35">
        <w:rPr>
          <w:b/>
          <w:bCs/>
        </w:rPr>
        <w:t xml:space="preserve">. </w:t>
      </w:r>
    </w:p>
    <w:p w14:paraId="0FDCFAC2" w14:textId="77777777" w:rsidR="00CD4C7B" w:rsidRPr="006E13D1" w:rsidRDefault="00CD4C7B" w:rsidP="00CD4C7B">
      <w:pPr>
        <w:pStyle w:val="Heading1"/>
      </w:pPr>
      <w:r w:rsidRPr="006E13D1">
        <w:t>References</w:t>
      </w:r>
    </w:p>
    <w:p w14:paraId="41BC1C6B" w14:textId="34EDD0A7" w:rsidR="00683F56" w:rsidRDefault="002120BC" w:rsidP="00683F56">
      <w:pPr>
        <w:numPr>
          <w:ilvl w:val="0"/>
          <w:numId w:val="4"/>
        </w:numPr>
        <w:overflowPunct w:val="0"/>
        <w:autoSpaceDE w:val="0"/>
        <w:autoSpaceDN w:val="0"/>
        <w:adjustRightInd w:val="0"/>
        <w:textAlignment w:val="baseline"/>
      </w:pPr>
      <w:r>
        <w:t>R2-1902237 Report from session on LTE V2X and NR V2X (Athen</w:t>
      </w:r>
      <w:r w:rsidR="00575551">
        <w:t>s</w:t>
      </w:r>
      <w:r>
        <w:t>, Greece, 25</w:t>
      </w:r>
      <w:r w:rsidRPr="002120BC">
        <w:rPr>
          <w:vertAlign w:val="superscript"/>
        </w:rPr>
        <w:t>th</w:t>
      </w:r>
      <w:r>
        <w:t xml:space="preserve"> Feb – 1</w:t>
      </w:r>
      <w:r w:rsidRPr="002120BC">
        <w:rPr>
          <w:vertAlign w:val="superscript"/>
        </w:rPr>
        <w:t>st</w:t>
      </w:r>
      <w:r>
        <w:t xml:space="preserve"> Mar 2019)</w:t>
      </w:r>
    </w:p>
    <w:p w14:paraId="64FBD706" w14:textId="2C74ECEE" w:rsidR="002120BC" w:rsidRDefault="002120BC" w:rsidP="00683F56">
      <w:pPr>
        <w:numPr>
          <w:ilvl w:val="0"/>
          <w:numId w:val="4"/>
        </w:numPr>
        <w:overflowPunct w:val="0"/>
        <w:autoSpaceDE w:val="0"/>
        <w:autoSpaceDN w:val="0"/>
        <w:adjustRightInd w:val="0"/>
        <w:textAlignment w:val="baseline"/>
      </w:pPr>
      <w:r w:rsidRPr="00CD088D">
        <w:rPr>
          <w:noProof/>
        </w:rPr>
        <w:t>R2-1902159</w:t>
      </w:r>
      <w:r w:rsidRPr="00CD088D">
        <w:rPr>
          <w:noProof/>
        </w:rPr>
        <w:tab/>
        <w:t>Report of [104#59][NR/V2X] Resource allocation</w:t>
      </w:r>
      <w:r w:rsidRPr="00CD088D">
        <w:rPr>
          <w:noProof/>
        </w:rPr>
        <w:tab/>
        <w:t>LG Electronics Inc</w:t>
      </w:r>
    </w:p>
    <w:p w14:paraId="54AEE2FF" w14:textId="0DFE3ADA" w:rsidR="002E6AF5" w:rsidRPr="002120BC" w:rsidRDefault="002E6AF5" w:rsidP="002E6AF5">
      <w:pPr>
        <w:numPr>
          <w:ilvl w:val="0"/>
          <w:numId w:val="4"/>
        </w:numPr>
        <w:overflowPunct w:val="0"/>
        <w:autoSpaceDE w:val="0"/>
        <w:autoSpaceDN w:val="0"/>
        <w:adjustRightInd w:val="0"/>
        <w:textAlignment w:val="baseline"/>
      </w:pPr>
      <w:r>
        <w:t>TS</w:t>
      </w:r>
      <w:r w:rsidR="00BA1727">
        <w:t xml:space="preserve"> </w:t>
      </w:r>
      <w:r>
        <w:t>38.331 NR Radio Resource Control (RRC) protocol specification (Release 15); V15.</w:t>
      </w:r>
      <w:r w:rsidR="00E338E8">
        <w:t>5</w:t>
      </w:r>
      <w:r>
        <w:t>.0</w:t>
      </w:r>
    </w:p>
    <w:sectPr w:rsidR="002E6AF5" w:rsidRPr="002120BC" w:rsidSect="008E4B3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67964" w14:textId="77777777" w:rsidR="00844296" w:rsidRDefault="00844296">
      <w:r>
        <w:separator/>
      </w:r>
    </w:p>
  </w:endnote>
  <w:endnote w:type="continuationSeparator" w:id="0">
    <w:p w14:paraId="70463C3A" w14:textId="77777777" w:rsidR="00844296" w:rsidRDefault="00844296">
      <w:r>
        <w:continuationSeparator/>
      </w:r>
    </w:p>
  </w:endnote>
  <w:endnote w:type="continuationNotice" w:id="1">
    <w:p w14:paraId="705C306A" w14:textId="77777777" w:rsidR="00844296" w:rsidRDefault="008442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43" w:usb2="00000009" w:usb3="00000000" w:csb0="000001F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87063F" w:rsidRDefault="008706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87063F" w:rsidRDefault="008706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87063F" w:rsidRDefault="008706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3D1B9" w14:textId="77777777" w:rsidR="00844296" w:rsidRDefault="00844296">
      <w:r>
        <w:separator/>
      </w:r>
    </w:p>
  </w:footnote>
  <w:footnote w:type="continuationSeparator" w:id="0">
    <w:p w14:paraId="5319F8AC" w14:textId="77777777" w:rsidR="00844296" w:rsidRDefault="00844296">
      <w:r>
        <w:continuationSeparator/>
      </w:r>
    </w:p>
  </w:footnote>
  <w:footnote w:type="continuationNotice" w:id="1">
    <w:p w14:paraId="28099211" w14:textId="77777777" w:rsidR="00844296" w:rsidRDefault="008442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87063F" w:rsidRDefault="008706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87063F" w:rsidRDefault="008706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87063F" w:rsidRDefault="008706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1DD40FD"/>
    <w:multiLevelType w:val="hybridMultilevel"/>
    <w:tmpl w:val="C2D4DDF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68929E4"/>
    <w:multiLevelType w:val="hybridMultilevel"/>
    <w:tmpl w:val="26E4651C"/>
    <w:lvl w:ilvl="0" w:tplc="4E5CA9E4">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9"/>
  </w:num>
  <w:num w:numId="7">
    <w:abstractNumId w:val="2"/>
  </w:num>
  <w:num w:numId="8">
    <w:abstractNumId w:val="8"/>
  </w:num>
  <w:num w:numId="9">
    <w:abstractNumId w:val="3"/>
  </w:num>
  <w:num w:numId="10">
    <w:abstractNumId w:val="5"/>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828"/>
    <w:rsid w:val="000100AF"/>
    <w:rsid w:val="0001200A"/>
    <w:rsid w:val="00033397"/>
    <w:rsid w:val="00040095"/>
    <w:rsid w:val="00050459"/>
    <w:rsid w:val="00051BD5"/>
    <w:rsid w:val="00066DE7"/>
    <w:rsid w:val="00080512"/>
    <w:rsid w:val="00090468"/>
    <w:rsid w:val="00096C2D"/>
    <w:rsid w:val="000B7BCF"/>
    <w:rsid w:val="000C1F86"/>
    <w:rsid w:val="000C522B"/>
    <w:rsid w:val="000D2BF2"/>
    <w:rsid w:val="000D58AB"/>
    <w:rsid w:val="000E20C2"/>
    <w:rsid w:val="000F532F"/>
    <w:rsid w:val="001017EC"/>
    <w:rsid w:val="00112F1A"/>
    <w:rsid w:val="00123300"/>
    <w:rsid w:val="001319DA"/>
    <w:rsid w:val="00145075"/>
    <w:rsid w:val="00157C89"/>
    <w:rsid w:val="00164B12"/>
    <w:rsid w:val="00172D07"/>
    <w:rsid w:val="001741A0"/>
    <w:rsid w:val="00175FA0"/>
    <w:rsid w:val="001923D2"/>
    <w:rsid w:val="00194CD0"/>
    <w:rsid w:val="001B49C9"/>
    <w:rsid w:val="001C3EC4"/>
    <w:rsid w:val="001C4F79"/>
    <w:rsid w:val="001E404A"/>
    <w:rsid w:val="001F168B"/>
    <w:rsid w:val="001F7831"/>
    <w:rsid w:val="00204045"/>
    <w:rsid w:val="0020712B"/>
    <w:rsid w:val="002120BC"/>
    <w:rsid w:val="00216F80"/>
    <w:rsid w:val="0022606D"/>
    <w:rsid w:val="00231728"/>
    <w:rsid w:val="002610D8"/>
    <w:rsid w:val="002747EC"/>
    <w:rsid w:val="002855BF"/>
    <w:rsid w:val="00292FA9"/>
    <w:rsid w:val="00293477"/>
    <w:rsid w:val="002A6258"/>
    <w:rsid w:val="002D3857"/>
    <w:rsid w:val="002D6C85"/>
    <w:rsid w:val="002E3549"/>
    <w:rsid w:val="002E36E1"/>
    <w:rsid w:val="002E6AF5"/>
    <w:rsid w:val="002F0D22"/>
    <w:rsid w:val="003153D9"/>
    <w:rsid w:val="003172DC"/>
    <w:rsid w:val="00325AE3"/>
    <w:rsid w:val="00326069"/>
    <w:rsid w:val="00350EC6"/>
    <w:rsid w:val="00353A16"/>
    <w:rsid w:val="0035462D"/>
    <w:rsid w:val="00363636"/>
    <w:rsid w:val="00364B41"/>
    <w:rsid w:val="00364CCF"/>
    <w:rsid w:val="00382439"/>
    <w:rsid w:val="00397AD3"/>
    <w:rsid w:val="003A10F9"/>
    <w:rsid w:val="003A41EF"/>
    <w:rsid w:val="003B40AD"/>
    <w:rsid w:val="003C4E37"/>
    <w:rsid w:val="003E16BE"/>
    <w:rsid w:val="003E753C"/>
    <w:rsid w:val="003F4E28"/>
    <w:rsid w:val="004006E8"/>
    <w:rsid w:val="00401855"/>
    <w:rsid w:val="004116AC"/>
    <w:rsid w:val="00416356"/>
    <w:rsid w:val="00436159"/>
    <w:rsid w:val="004412C3"/>
    <w:rsid w:val="0044262B"/>
    <w:rsid w:val="00457631"/>
    <w:rsid w:val="00477455"/>
    <w:rsid w:val="004905C8"/>
    <w:rsid w:val="00493837"/>
    <w:rsid w:val="004A1F7B"/>
    <w:rsid w:val="004B3324"/>
    <w:rsid w:val="004B566A"/>
    <w:rsid w:val="004C44D2"/>
    <w:rsid w:val="004D3578"/>
    <w:rsid w:val="004D380D"/>
    <w:rsid w:val="004D3E74"/>
    <w:rsid w:val="004E213A"/>
    <w:rsid w:val="004F3019"/>
    <w:rsid w:val="00503171"/>
    <w:rsid w:val="00506C28"/>
    <w:rsid w:val="00520A4B"/>
    <w:rsid w:val="00522027"/>
    <w:rsid w:val="0052620E"/>
    <w:rsid w:val="00534DA0"/>
    <w:rsid w:val="00543E6C"/>
    <w:rsid w:val="005471D3"/>
    <w:rsid w:val="00565087"/>
    <w:rsid w:val="0056573F"/>
    <w:rsid w:val="00575551"/>
    <w:rsid w:val="00587B75"/>
    <w:rsid w:val="005A5A2C"/>
    <w:rsid w:val="005C1155"/>
    <w:rsid w:val="005F07A1"/>
    <w:rsid w:val="00611566"/>
    <w:rsid w:val="00616511"/>
    <w:rsid w:val="00625C4F"/>
    <w:rsid w:val="0064093D"/>
    <w:rsid w:val="00646D99"/>
    <w:rsid w:val="00656910"/>
    <w:rsid w:val="0068338D"/>
    <w:rsid w:val="00683F56"/>
    <w:rsid w:val="00686625"/>
    <w:rsid w:val="0069717F"/>
    <w:rsid w:val="006C54E1"/>
    <w:rsid w:val="006C66D8"/>
    <w:rsid w:val="006D1E24"/>
    <w:rsid w:val="006E1417"/>
    <w:rsid w:val="006F6A2C"/>
    <w:rsid w:val="00710201"/>
    <w:rsid w:val="007342B5"/>
    <w:rsid w:val="00734A5B"/>
    <w:rsid w:val="0074455D"/>
    <w:rsid w:val="00744E76"/>
    <w:rsid w:val="00757D40"/>
    <w:rsid w:val="0078123A"/>
    <w:rsid w:val="00781F0F"/>
    <w:rsid w:val="0078727C"/>
    <w:rsid w:val="0079049D"/>
    <w:rsid w:val="00793DC5"/>
    <w:rsid w:val="007B18D8"/>
    <w:rsid w:val="007B4CE5"/>
    <w:rsid w:val="007C095F"/>
    <w:rsid w:val="007C2DD0"/>
    <w:rsid w:val="007E2AF9"/>
    <w:rsid w:val="007E7D2C"/>
    <w:rsid w:val="008028A4"/>
    <w:rsid w:val="00813245"/>
    <w:rsid w:val="00821BC2"/>
    <w:rsid w:val="00844296"/>
    <w:rsid w:val="00857DC8"/>
    <w:rsid w:val="0087063F"/>
    <w:rsid w:val="008768CA"/>
    <w:rsid w:val="00877EF9"/>
    <w:rsid w:val="00880559"/>
    <w:rsid w:val="00887951"/>
    <w:rsid w:val="008A75BE"/>
    <w:rsid w:val="008B14F1"/>
    <w:rsid w:val="008B5306"/>
    <w:rsid w:val="008D2E4D"/>
    <w:rsid w:val="008E4B35"/>
    <w:rsid w:val="008E781E"/>
    <w:rsid w:val="008F396F"/>
    <w:rsid w:val="0090271F"/>
    <w:rsid w:val="00902DB9"/>
    <w:rsid w:val="0090466A"/>
    <w:rsid w:val="009359CA"/>
    <w:rsid w:val="00936071"/>
    <w:rsid w:val="00940212"/>
    <w:rsid w:val="00942EC2"/>
    <w:rsid w:val="00961B32"/>
    <w:rsid w:val="00970DB3"/>
    <w:rsid w:val="00974BB0"/>
    <w:rsid w:val="00981421"/>
    <w:rsid w:val="009A0AF3"/>
    <w:rsid w:val="009A5774"/>
    <w:rsid w:val="009B0604"/>
    <w:rsid w:val="009B07CD"/>
    <w:rsid w:val="009B11E4"/>
    <w:rsid w:val="009C19E9"/>
    <w:rsid w:val="009C1B45"/>
    <w:rsid w:val="009D74A6"/>
    <w:rsid w:val="00A02733"/>
    <w:rsid w:val="00A030C5"/>
    <w:rsid w:val="00A10F02"/>
    <w:rsid w:val="00A1129D"/>
    <w:rsid w:val="00A146A4"/>
    <w:rsid w:val="00A204CA"/>
    <w:rsid w:val="00A35C52"/>
    <w:rsid w:val="00A476C6"/>
    <w:rsid w:val="00A5239A"/>
    <w:rsid w:val="00A53724"/>
    <w:rsid w:val="00A73927"/>
    <w:rsid w:val="00A82346"/>
    <w:rsid w:val="00A9671C"/>
    <w:rsid w:val="00A96B48"/>
    <w:rsid w:val="00AA1553"/>
    <w:rsid w:val="00B05962"/>
    <w:rsid w:val="00B11C1C"/>
    <w:rsid w:val="00B15449"/>
    <w:rsid w:val="00B16105"/>
    <w:rsid w:val="00B27303"/>
    <w:rsid w:val="00B47FD1"/>
    <w:rsid w:val="00B516BB"/>
    <w:rsid w:val="00B613F0"/>
    <w:rsid w:val="00B77C5A"/>
    <w:rsid w:val="00B8077D"/>
    <w:rsid w:val="00B80E43"/>
    <w:rsid w:val="00BA1727"/>
    <w:rsid w:val="00BC002A"/>
    <w:rsid w:val="00BC3555"/>
    <w:rsid w:val="00BE7E2C"/>
    <w:rsid w:val="00C12B51"/>
    <w:rsid w:val="00C238B7"/>
    <w:rsid w:val="00C24650"/>
    <w:rsid w:val="00C25465"/>
    <w:rsid w:val="00C33079"/>
    <w:rsid w:val="00C7796A"/>
    <w:rsid w:val="00C83A13"/>
    <w:rsid w:val="00C9068C"/>
    <w:rsid w:val="00C92967"/>
    <w:rsid w:val="00CA3B1A"/>
    <w:rsid w:val="00CA3D0C"/>
    <w:rsid w:val="00CA654B"/>
    <w:rsid w:val="00CB4B94"/>
    <w:rsid w:val="00CB6B9A"/>
    <w:rsid w:val="00CB72B8"/>
    <w:rsid w:val="00CC0C26"/>
    <w:rsid w:val="00CD3A17"/>
    <w:rsid w:val="00CD4C7B"/>
    <w:rsid w:val="00CD738E"/>
    <w:rsid w:val="00CE17BD"/>
    <w:rsid w:val="00CF09CA"/>
    <w:rsid w:val="00CF1819"/>
    <w:rsid w:val="00CF1FDC"/>
    <w:rsid w:val="00CF49B5"/>
    <w:rsid w:val="00D05575"/>
    <w:rsid w:val="00D14AAF"/>
    <w:rsid w:val="00D21955"/>
    <w:rsid w:val="00D33BE3"/>
    <w:rsid w:val="00D3792D"/>
    <w:rsid w:val="00D453F7"/>
    <w:rsid w:val="00D55E47"/>
    <w:rsid w:val="00D62E19"/>
    <w:rsid w:val="00D67CD1"/>
    <w:rsid w:val="00D738D6"/>
    <w:rsid w:val="00D80795"/>
    <w:rsid w:val="00D854BE"/>
    <w:rsid w:val="00D87E00"/>
    <w:rsid w:val="00D9134D"/>
    <w:rsid w:val="00D96D11"/>
    <w:rsid w:val="00DA2622"/>
    <w:rsid w:val="00DA5008"/>
    <w:rsid w:val="00DA7A03"/>
    <w:rsid w:val="00DB0DB8"/>
    <w:rsid w:val="00DB1818"/>
    <w:rsid w:val="00DC309B"/>
    <w:rsid w:val="00DC4DA2"/>
    <w:rsid w:val="00DD0D29"/>
    <w:rsid w:val="00E23576"/>
    <w:rsid w:val="00E310E7"/>
    <w:rsid w:val="00E3173D"/>
    <w:rsid w:val="00E338E8"/>
    <w:rsid w:val="00E471CF"/>
    <w:rsid w:val="00E573DB"/>
    <w:rsid w:val="00E62835"/>
    <w:rsid w:val="00E77645"/>
    <w:rsid w:val="00E776DF"/>
    <w:rsid w:val="00E83697"/>
    <w:rsid w:val="00E85474"/>
    <w:rsid w:val="00EA2895"/>
    <w:rsid w:val="00EB1BE8"/>
    <w:rsid w:val="00EC1E99"/>
    <w:rsid w:val="00EC4A25"/>
    <w:rsid w:val="00EC5FF4"/>
    <w:rsid w:val="00EE282E"/>
    <w:rsid w:val="00EE7576"/>
    <w:rsid w:val="00F025A2"/>
    <w:rsid w:val="00F0410D"/>
    <w:rsid w:val="00F07388"/>
    <w:rsid w:val="00F17E18"/>
    <w:rsid w:val="00F2026E"/>
    <w:rsid w:val="00F2210A"/>
    <w:rsid w:val="00F25559"/>
    <w:rsid w:val="00F357C7"/>
    <w:rsid w:val="00F37743"/>
    <w:rsid w:val="00F54A3D"/>
    <w:rsid w:val="00F54CB0"/>
    <w:rsid w:val="00F6310E"/>
    <w:rsid w:val="00F653B8"/>
    <w:rsid w:val="00F71B89"/>
    <w:rsid w:val="00F7353C"/>
    <w:rsid w:val="00F76F8F"/>
    <w:rsid w:val="00F775D9"/>
    <w:rsid w:val="00F941DF"/>
    <w:rsid w:val="00FA11F6"/>
    <w:rsid w:val="00FA1266"/>
    <w:rsid w:val="00FA52A8"/>
    <w:rsid w:val="00FB36FA"/>
    <w:rsid w:val="00FC1192"/>
    <w:rsid w:val="00FE251B"/>
    <w:rsid w:val="05F75663"/>
    <w:rsid w:val="0FCEFB79"/>
    <w:rsid w:val="1078FD7A"/>
    <w:rsid w:val="160DE26B"/>
    <w:rsid w:val="1FB6E8A9"/>
    <w:rsid w:val="2320C3FA"/>
    <w:rsid w:val="2ADE5377"/>
    <w:rsid w:val="380F3998"/>
    <w:rsid w:val="46F9E71A"/>
    <w:rsid w:val="4B54A688"/>
    <w:rsid w:val="4CE156BE"/>
    <w:rsid w:val="4F03F543"/>
    <w:rsid w:val="4FC54973"/>
    <w:rsid w:val="54FF9DAC"/>
    <w:rsid w:val="576CB7F9"/>
    <w:rsid w:val="5F31F875"/>
    <w:rsid w:val="660F1896"/>
    <w:rsid w:val="66CA19CA"/>
    <w:rsid w:val="6A982446"/>
    <w:rsid w:val="7C4AAF8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3GPPAgreements">
    <w:name w:val="3GPP Agreements"/>
    <w:basedOn w:val="Normal"/>
    <w:link w:val="3GPPAgreementsChar"/>
    <w:qFormat/>
    <w:rsid w:val="00293477"/>
    <w:pPr>
      <w:numPr>
        <w:numId w:val="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293477"/>
    <w:rPr>
      <w:rFonts w:eastAsia="SimSun"/>
      <w:sz w:val="22"/>
      <w:lang w:val="en-US" w:eastAsia="zh-CN"/>
    </w:rPr>
  </w:style>
  <w:style w:type="paragraph" w:styleId="ListParagraph">
    <w:name w:val="List Paragraph"/>
    <w:aliases w:val="- Bullets,목록 단락,?? ??,?????,????,Lista1"/>
    <w:basedOn w:val="Normal"/>
    <w:link w:val="ListParagraphChar"/>
    <w:uiPriority w:val="34"/>
    <w:qFormat/>
    <w:rsid w:val="00293477"/>
    <w:pPr>
      <w:ind w:left="720"/>
      <w:contextualSpacing/>
    </w:pPr>
  </w:style>
  <w:style w:type="character" w:customStyle="1" w:styleId="ListParagraphChar">
    <w:name w:val="List Paragraph Char"/>
    <w:aliases w:val="- Bullets Char,목록 단락 Char,?? ?? Char,????? Char,???? Char,Lista1 Char"/>
    <w:link w:val="ListParagraph"/>
    <w:uiPriority w:val="34"/>
    <w:qFormat/>
    <w:locked/>
    <w:rsid w:val="00292FA9"/>
    <w:rPr>
      <w:lang w:eastAsia="en-US"/>
    </w:rPr>
  </w:style>
  <w:style w:type="character" w:styleId="CommentReference">
    <w:name w:val="annotation reference"/>
    <w:basedOn w:val="DefaultParagraphFont"/>
    <w:rsid w:val="00C238B7"/>
    <w:rPr>
      <w:sz w:val="16"/>
      <w:szCs w:val="16"/>
    </w:rPr>
  </w:style>
  <w:style w:type="paragraph" w:styleId="CommentText">
    <w:name w:val="annotation text"/>
    <w:basedOn w:val="Normal"/>
    <w:link w:val="CommentTextChar"/>
    <w:rsid w:val="00C238B7"/>
  </w:style>
  <w:style w:type="character" w:customStyle="1" w:styleId="CommentTextChar">
    <w:name w:val="Comment Text Char"/>
    <w:basedOn w:val="DefaultParagraphFont"/>
    <w:link w:val="CommentText"/>
    <w:rsid w:val="00C238B7"/>
    <w:rPr>
      <w:lang w:eastAsia="en-US"/>
    </w:rPr>
  </w:style>
  <w:style w:type="paragraph" w:styleId="CommentSubject">
    <w:name w:val="annotation subject"/>
    <w:basedOn w:val="CommentText"/>
    <w:next w:val="CommentText"/>
    <w:link w:val="CommentSubjectChar"/>
    <w:rsid w:val="00C238B7"/>
    <w:rPr>
      <w:b/>
      <w:bCs/>
    </w:rPr>
  </w:style>
  <w:style w:type="character" w:customStyle="1" w:styleId="CommentSubjectChar">
    <w:name w:val="Comment Subject Char"/>
    <w:basedOn w:val="CommentTextChar"/>
    <w:link w:val="CommentSubject"/>
    <w:rsid w:val="00C238B7"/>
    <w:rPr>
      <w:b/>
      <w:bCs/>
      <w:lang w:eastAsia="en-US"/>
    </w:rPr>
  </w:style>
  <w:style w:type="paragraph" w:customStyle="1" w:styleId="TdocHeader2">
    <w:name w:val="Tdoc_Header_2"/>
    <w:basedOn w:val="Normal"/>
    <w:rsid w:val="002E6AF5"/>
    <w:pPr>
      <w:widowControl w:val="0"/>
      <w:tabs>
        <w:tab w:val="left" w:pos="1701"/>
        <w:tab w:val="right" w:pos="9072"/>
        <w:tab w:val="right" w:pos="10206"/>
      </w:tabs>
      <w:spacing w:after="0"/>
      <w:jc w:val="both"/>
    </w:pPr>
    <w:rPr>
      <w:rFonts w:ascii="Arial" w:eastAsia="Batang" w:hAnsi="Arial"/>
      <w:b/>
      <w:sz w:val="18"/>
    </w:rPr>
  </w:style>
  <w:style w:type="paragraph" w:styleId="Revision">
    <w:name w:val="Revision"/>
    <w:hidden/>
    <w:uiPriority w:val="99"/>
    <w:semiHidden/>
    <w:rsid w:val="00157C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6710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5AIRPNAIUNRU-859666464-4905</_dlc_DocId>
    <_dlc_DocIdUrl xmlns="71c5aaf6-e6ce-465b-b873-5148d2a4c105">
      <Url>https://nokia.sharepoint.com/sites/c5g/e2earch/_layouts/15/DocIdRedir.aspx?ID=5AIRPNAIUNRU-859666464-4905</Url>
      <Description>5AIRPNAIUNRU-859666464-4905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purl.org/dc/dcmitype/"/>
    <ds:schemaRef ds:uri="71c5aaf6-e6ce-465b-b873-5148d2a4c105"/>
    <ds:schemaRef ds:uri="http://purl.org/dc/elements/1.1/"/>
    <ds:schemaRef ds:uri="http://schemas.openxmlformats.org/package/2006/metadata/core-properties"/>
    <ds:schemaRef ds:uri="a3840f4f-04be-43d1-b2ef-6ff1382503c7"/>
    <ds:schemaRef ds:uri="http://www.w3.org/XML/1998/namespace"/>
    <ds:schemaRef ds:uri="http://purl.org/dc/terms/"/>
    <ds:schemaRef ds:uri="83f22d2f-d16e-4be6-ad4f-29fa0b067c3c"/>
    <ds:schemaRef ds:uri="http://schemas.microsoft.com/office/2006/documentManagement/types"/>
    <ds:schemaRef ds:uri="http://schemas.microsoft.com/office/infopath/2007/PartnerControls"/>
    <ds:schemaRef ds:uri="3b34c8f0-1ef5-4d1e-bb66-517ce7fe7356"/>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19</TotalTime>
  <Pages>2</Pages>
  <Words>1024</Words>
  <Characters>5242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25</cp:revision>
  <dcterms:created xsi:type="dcterms:W3CDTF">2019-03-26T11:50:00Z</dcterms:created>
  <dcterms:modified xsi:type="dcterms:W3CDTF">2019-03-28T15:17:00Z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8558a388-2851-4190-9157-df316198d727</vt:lpwstr>
  </property>
  <property fmtid="{D5CDD505-2E9C-101B-9397-08002B2CF9AE}" pid="4" name="AuthorIds_UIVersion_2560">
    <vt:lpwstr>723</vt:lpwstr>
  </property>
  <property fmtid="{D5CDD505-2E9C-101B-9397-08002B2CF9AE}" pid="5" name="AuthorIds_UIVersion_2048">
    <vt:lpwstr>443,723</vt:lpwstr>
  </property>
  <property fmtid="{D5CDD505-2E9C-101B-9397-08002B2CF9AE}" pid="6" name="AuthorIds_UIVersion_3584">
    <vt:lpwstr>723</vt:lpwstr>
  </property>
</Properties>
</file>